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253286" w:rsidRDefault="00485FD6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 w:rsidRPr="00253286">
        <w:rPr>
          <w:b/>
          <w:color w:val="006600"/>
          <w:sz w:val="36"/>
          <w:szCs w:val="36"/>
          <w:lang w:val="fr-FR"/>
        </w:rPr>
        <w:t xml:space="preserve">Règlement </w:t>
      </w:r>
      <w:r w:rsidR="00321A49" w:rsidRPr="00253286">
        <w:rPr>
          <w:b/>
          <w:color w:val="006600"/>
          <w:sz w:val="36"/>
          <w:szCs w:val="36"/>
          <w:lang w:val="fr-FR"/>
        </w:rPr>
        <w:t xml:space="preserve">Bois </w:t>
      </w:r>
      <w:r w:rsidRPr="00253286">
        <w:rPr>
          <w:b/>
          <w:color w:val="006600"/>
          <w:sz w:val="36"/>
          <w:szCs w:val="36"/>
          <w:lang w:val="fr-FR"/>
        </w:rPr>
        <w:t xml:space="preserve">de l’UE </w:t>
      </w:r>
      <w:r w:rsidR="00321A49" w:rsidRPr="00253286">
        <w:rPr>
          <w:b/>
          <w:color w:val="006600"/>
          <w:sz w:val="36"/>
          <w:szCs w:val="36"/>
          <w:lang w:val="fr-FR"/>
        </w:rPr>
        <w:t>– F</w:t>
      </w:r>
      <w:r w:rsidRPr="00253286">
        <w:rPr>
          <w:b/>
          <w:color w:val="006600"/>
          <w:sz w:val="36"/>
          <w:szCs w:val="36"/>
          <w:lang w:val="fr-FR"/>
        </w:rPr>
        <w:t>ormation des formateurs</w:t>
      </w:r>
      <w:r w:rsidR="00DC5EFE" w:rsidRPr="00253286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253286" w:rsidRDefault="00DC5EFE">
      <w:pPr>
        <w:rPr>
          <w:b/>
          <w:color w:val="006600"/>
          <w:sz w:val="28"/>
          <w:szCs w:val="28"/>
          <w:lang w:val="fr-FR"/>
        </w:rPr>
      </w:pPr>
      <w:r w:rsidRPr="00253286">
        <w:rPr>
          <w:b/>
          <w:color w:val="006600"/>
          <w:sz w:val="28"/>
          <w:szCs w:val="28"/>
          <w:lang w:val="fr-FR"/>
        </w:rPr>
        <w:t>Activit</w:t>
      </w:r>
      <w:r w:rsidR="00485FD6" w:rsidRPr="00253286">
        <w:rPr>
          <w:b/>
          <w:color w:val="006600"/>
          <w:sz w:val="28"/>
          <w:szCs w:val="28"/>
          <w:lang w:val="fr-FR"/>
        </w:rPr>
        <w:t>é</w:t>
      </w:r>
      <w:r w:rsidRPr="00253286">
        <w:rPr>
          <w:b/>
          <w:color w:val="006600"/>
          <w:sz w:val="28"/>
          <w:szCs w:val="28"/>
          <w:lang w:val="fr-FR"/>
        </w:rPr>
        <w:t xml:space="preserve"> </w:t>
      </w:r>
      <w:r w:rsidR="00CA312B" w:rsidRPr="00253286">
        <w:rPr>
          <w:b/>
          <w:color w:val="006600"/>
          <w:sz w:val="28"/>
          <w:szCs w:val="28"/>
          <w:lang w:val="fr-FR"/>
        </w:rPr>
        <w:t xml:space="preserve">6 </w:t>
      </w:r>
      <w:r w:rsidR="00485FD6" w:rsidRPr="00253286">
        <w:rPr>
          <w:b/>
          <w:color w:val="006600"/>
          <w:sz w:val="28"/>
          <w:szCs w:val="28"/>
          <w:lang w:val="fr-FR"/>
        </w:rPr>
        <w:t xml:space="preserve">– non-conformité de la chaîne de contrôle (CdC) : réponses </w:t>
      </w:r>
    </w:p>
    <w:p w:rsidR="004C2B88" w:rsidRPr="00253286" w:rsidRDefault="004C2B88" w:rsidP="004C2B88">
      <w:pPr>
        <w:rPr>
          <w:rFonts w:cstheme="minorHAnsi"/>
          <w:b/>
          <w:color w:val="006600"/>
          <w:lang w:val="fr-FR"/>
        </w:rPr>
      </w:pPr>
      <w:r w:rsidRPr="00253286">
        <w:rPr>
          <w:rFonts w:cstheme="minorHAnsi"/>
          <w:b/>
          <w:color w:val="006600"/>
          <w:lang w:val="fr-FR"/>
        </w:rPr>
        <w:t>Introduction</w:t>
      </w:r>
    </w:p>
    <w:p w:rsidR="004C2B88" w:rsidRPr="00253286" w:rsidRDefault="00485FD6" w:rsidP="004C2B88">
      <w:pPr>
        <w:rPr>
          <w:rFonts w:cstheme="minorHAnsi"/>
          <w:lang w:val="fr-FR"/>
        </w:rPr>
      </w:pPr>
      <w:r w:rsidRPr="00253286">
        <w:rPr>
          <w:rFonts w:cstheme="minorHAnsi"/>
          <w:szCs w:val="20"/>
          <w:lang w:val="fr-FR"/>
        </w:rPr>
        <w:t>Cet atelier a pour objet d’illustrer les points de contrôle critiques (PPC) dans une organisation et de montrer comment identifier les non-conformités. Il a également pour objet de familiariser les participants aux exigences d’une chaîne de contrôle (CdC).</w:t>
      </w:r>
      <w:r w:rsidR="004C2B88" w:rsidRPr="00253286">
        <w:rPr>
          <w:rFonts w:cstheme="minorHAnsi"/>
          <w:lang w:val="fr-FR"/>
        </w:rPr>
        <w:t xml:space="preserve"> </w:t>
      </w:r>
    </w:p>
    <w:p w:rsidR="004C2B88" w:rsidRPr="00253286" w:rsidRDefault="00485FD6" w:rsidP="004C2B88">
      <w:pPr>
        <w:rPr>
          <w:rFonts w:cstheme="minorHAnsi"/>
          <w:b/>
          <w:color w:val="006600"/>
          <w:lang w:val="fr-FR"/>
        </w:rPr>
      </w:pPr>
      <w:r w:rsidRPr="00253286">
        <w:rPr>
          <w:rFonts w:cstheme="minorHAnsi"/>
          <w:b/>
          <w:color w:val="006600"/>
          <w:lang w:val="fr-FR"/>
        </w:rPr>
        <w:t>Tâche</w:t>
      </w:r>
    </w:p>
    <w:p w:rsidR="004C2B88" w:rsidRPr="00253286" w:rsidRDefault="004D3724" w:rsidP="004C2B88">
      <w:pPr>
        <w:rPr>
          <w:rFonts w:cstheme="minorHAnsi"/>
          <w:lang w:val="fr-FR"/>
        </w:rPr>
      </w:pPr>
      <w:r w:rsidRPr="00253286">
        <w:rPr>
          <w:rFonts w:cstheme="minorHAnsi"/>
          <w:szCs w:val="20"/>
          <w:lang w:val="fr-FR"/>
        </w:rPr>
        <w:t>Deux situations d’examen de la CdC vous ont été présentées</w:t>
      </w:r>
      <w:r w:rsidR="004C2B88" w:rsidRPr="00253286">
        <w:rPr>
          <w:rFonts w:cstheme="minorHAnsi"/>
          <w:lang w:val="fr-FR"/>
        </w:rPr>
        <w:t xml:space="preserve">. </w:t>
      </w:r>
      <w:r w:rsidRPr="00253286">
        <w:rPr>
          <w:rFonts w:cstheme="minorHAnsi"/>
          <w:lang w:val="fr-FR"/>
        </w:rPr>
        <w:t>Utilisez ces informations pour :</w:t>
      </w:r>
      <w:r w:rsidR="004C2B88" w:rsidRPr="00253286">
        <w:rPr>
          <w:rFonts w:cstheme="minorHAnsi"/>
          <w:lang w:val="fr-FR"/>
        </w:rPr>
        <w:t xml:space="preserve"> </w:t>
      </w:r>
    </w:p>
    <w:p w:rsidR="004C2B88" w:rsidRPr="00253286" w:rsidRDefault="004D3724" w:rsidP="004C2B88">
      <w:pPr>
        <w:numPr>
          <w:ilvl w:val="0"/>
          <w:numId w:val="5"/>
        </w:numPr>
        <w:spacing w:before="120" w:after="0" w:line="312" w:lineRule="auto"/>
        <w:jc w:val="both"/>
        <w:rPr>
          <w:rFonts w:cstheme="minorHAnsi"/>
          <w:lang w:val="fr-FR"/>
        </w:rPr>
      </w:pPr>
      <w:r w:rsidRPr="00253286">
        <w:rPr>
          <w:rFonts w:cstheme="minorHAnsi"/>
          <w:lang w:val="fr-FR"/>
        </w:rPr>
        <w:t xml:space="preserve">identifier les PPC dans l’organisation (par ex. produits </w:t>
      </w:r>
      <w:r w:rsidR="00321A49" w:rsidRPr="00253286">
        <w:rPr>
          <w:rFonts w:cstheme="minorHAnsi"/>
          <w:lang w:val="fr-FR"/>
        </w:rPr>
        <w:t>reçus</w:t>
      </w:r>
      <w:r w:rsidRPr="00253286">
        <w:rPr>
          <w:rFonts w:cstheme="minorHAnsi"/>
          <w:lang w:val="fr-FR"/>
        </w:rPr>
        <w:t>, production, expédition) et la gestion de la qualité de la CdC (par ex. tenue d’un registre, formation</w:t>
      </w:r>
      <w:r w:rsidR="004C2B88" w:rsidRPr="00253286">
        <w:rPr>
          <w:rFonts w:cstheme="minorHAnsi"/>
          <w:lang w:val="fr-FR"/>
        </w:rPr>
        <w:t>)</w:t>
      </w:r>
      <w:r w:rsidRPr="00253286">
        <w:rPr>
          <w:rFonts w:cstheme="minorHAnsi"/>
          <w:lang w:val="fr-FR"/>
        </w:rPr>
        <w:t> ;</w:t>
      </w:r>
    </w:p>
    <w:p w:rsidR="004C2B88" w:rsidRPr="00253286" w:rsidRDefault="004D3724" w:rsidP="004C2B88">
      <w:pPr>
        <w:numPr>
          <w:ilvl w:val="0"/>
          <w:numId w:val="5"/>
        </w:numPr>
        <w:spacing w:before="120" w:after="0" w:line="312" w:lineRule="auto"/>
        <w:jc w:val="both"/>
        <w:rPr>
          <w:rFonts w:cstheme="minorHAnsi"/>
          <w:lang w:val="fr-FR"/>
        </w:rPr>
      </w:pPr>
      <w:r w:rsidRPr="00253286">
        <w:rPr>
          <w:rFonts w:cstheme="minorHAnsi"/>
          <w:lang w:val="fr-FR"/>
        </w:rPr>
        <w:t>identifier les contrôles actuels aux PPC et décider s’ils sont suffisants ;</w:t>
      </w:r>
      <w:r w:rsidR="004C2B88" w:rsidRPr="00253286">
        <w:rPr>
          <w:rFonts w:cstheme="minorHAnsi"/>
          <w:lang w:val="fr-FR"/>
        </w:rPr>
        <w:t xml:space="preserve"> </w:t>
      </w:r>
    </w:p>
    <w:p w:rsidR="004C2B88" w:rsidRPr="00253286" w:rsidRDefault="004D3724" w:rsidP="004C2B88">
      <w:pPr>
        <w:numPr>
          <w:ilvl w:val="0"/>
          <w:numId w:val="5"/>
        </w:numPr>
        <w:spacing w:before="120" w:after="0" w:line="312" w:lineRule="auto"/>
        <w:jc w:val="both"/>
        <w:rPr>
          <w:rFonts w:cstheme="minorHAnsi"/>
          <w:lang w:val="fr-FR"/>
        </w:rPr>
      </w:pPr>
      <w:r w:rsidRPr="00253286">
        <w:rPr>
          <w:rFonts w:cstheme="minorHAnsi"/>
          <w:lang w:val="fr-FR"/>
        </w:rPr>
        <w:t>identifier les non-conformités et envisager quels contrôles pourraient être appropriés pour assurer l’intégrité de la CdC interne</w:t>
      </w:r>
      <w:r w:rsidR="004C2B88" w:rsidRPr="00253286">
        <w:rPr>
          <w:rFonts w:cstheme="minorHAnsi"/>
          <w:lang w:val="fr-FR"/>
        </w:rPr>
        <w:t>.</w:t>
      </w:r>
    </w:p>
    <w:p w:rsidR="004C2B88" w:rsidRPr="00253286" w:rsidRDefault="004C2B88" w:rsidP="004C2B88">
      <w:pPr>
        <w:jc w:val="both"/>
        <w:rPr>
          <w:rFonts w:cstheme="minorHAnsi"/>
          <w:b/>
          <w:lang w:val="fr-FR"/>
        </w:rPr>
      </w:pPr>
    </w:p>
    <w:p w:rsidR="004C2B88" w:rsidRPr="00253286" w:rsidRDefault="004C2B88" w:rsidP="004C2B88">
      <w:pPr>
        <w:jc w:val="both"/>
        <w:rPr>
          <w:rFonts w:cstheme="minorHAnsi"/>
          <w:b/>
          <w:color w:val="006600"/>
          <w:lang w:val="fr-FR"/>
        </w:rPr>
      </w:pPr>
      <w:r w:rsidRPr="00253286">
        <w:rPr>
          <w:rFonts w:cstheme="minorHAnsi"/>
          <w:b/>
          <w:color w:val="006600"/>
          <w:lang w:val="fr-FR"/>
        </w:rPr>
        <w:t>Situation 1</w:t>
      </w:r>
      <w:r w:rsidR="004D3724" w:rsidRPr="00253286">
        <w:rPr>
          <w:rFonts w:cstheme="minorHAnsi"/>
          <w:b/>
          <w:color w:val="006600"/>
          <w:lang w:val="fr-FR"/>
        </w:rPr>
        <w:t> :</w:t>
      </w:r>
      <w:r w:rsidRPr="00253286">
        <w:rPr>
          <w:rFonts w:cstheme="minorHAnsi"/>
          <w:b/>
          <w:color w:val="006600"/>
          <w:lang w:val="fr-FR"/>
        </w:rPr>
        <w:t xml:space="preserve"> Leo Furniture</w:t>
      </w:r>
    </w:p>
    <w:tbl>
      <w:tblPr>
        <w:tblStyle w:val="Grilledutableau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53"/>
        <w:gridCol w:w="2700"/>
        <w:gridCol w:w="2126"/>
        <w:gridCol w:w="2693"/>
      </w:tblGrid>
      <w:tr w:rsidR="00681EAF" w:rsidRPr="00970506" w:rsidTr="00506A90">
        <w:trPr>
          <w:tblHeader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4D372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Points de contrôle critiques/ Gestion de la qualité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4D372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Contrôle actuel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4D372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Non-conformité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4D372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Contrôle suggéré pour assurer l’intégrité de la CdC</w:t>
            </w:r>
          </w:p>
        </w:tc>
      </w:tr>
      <w:tr w:rsidR="004C2B88" w:rsidRPr="00253286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D3724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 xml:space="preserve">Produits </w:t>
            </w:r>
            <w:r w:rsidR="00321A49" w:rsidRPr="00253286">
              <w:rPr>
                <w:rFonts w:cstheme="minorHAnsi"/>
                <w:lang w:val="fr-FR"/>
              </w:rPr>
              <w:t>reçus</w:t>
            </w: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4D3724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 bois scié est contrôlé et enregistré à son arrivée.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5F68D7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Physiquement identifiable et classé par fournisseurs sur la</w:t>
            </w:r>
            <w:r w:rsidR="004C2B88" w:rsidRPr="00253286">
              <w:rPr>
                <w:rFonts w:cstheme="minorHAnsi"/>
                <w:lang w:val="fr-FR"/>
              </w:rPr>
              <w:t xml:space="preserve"> ‘</w:t>
            </w:r>
            <w:r w:rsidRPr="00253286">
              <w:rPr>
                <w:rFonts w:cstheme="minorHAnsi"/>
                <w:b/>
                <w:i/>
                <w:lang w:val="fr-FR"/>
              </w:rPr>
              <w:t>fiche matière première</w:t>
            </w:r>
            <w:r w:rsidR="004C2B88" w:rsidRPr="00253286">
              <w:rPr>
                <w:rFonts w:cstheme="minorHAnsi"/>
                <w:b/>
                <w:i/>
                <w:lang w:val="fr-FR"/>
              </w:rPr>
              <w:t>’</w:t>
            </w:r>
            <w:r w:rsidR="004C2B88" w:rsidRPr="00253286">
              <w:rPr>
                <w:rFonts w:cstheme="minorHAnsi"/>
                <w:lang w:val="fr-FR"/>
              </w:rPr>
              <w:t xml:space="preserve">, </w:t>
            </w:r>
            <w:r w:rsidRPr="00253286">
              <w:rPr>
                <w:rFonts w:cstheme="minorHAnsi"/>
                <w:lang w:val="fr-FR"/>
              </w:rPr>
              <w:t>où sont indiqués :</w:t>
            </w:r>
          </w:p>
          <w:p w:rsidR="004C2B88" w:rsidRPr="00253286" w:rsidRDefault="005F68D7" w:rsidP="004C2B88">
            <w:pPr>
              <w:numPr>
                <w:ilvl w:val="0"/>
                <w:numId w:val="6"/>
              </w:numPr>
              <w:spacing w:before="120" w:line="312" w:lineRule="auto"/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les espèces</w:t>
            </w:r>
            <w:r w:rsidR="004C2B88" w:rsidRPr="00253286">
              <w:rPr>
                <w:rFonts w:cstheme="minorHAnsi"/>
                <w:lang w:val="fr-FR"/>
              </w:rPr>
              <w:t xml:space="preserve">, </w:t>
            </w:r>
          </w:p>
          <w:p w:rsidR="004C2B88" w:rsidRPr="00253286" w:rsidRDefault="005F68D7" w:rsidP="004C2B88">
            <w:pPr>
              <w:numPr>
                <w:ilvl w:val="0"/>
                <w:numId w:val="6"/>
              </w:numPr>
              <w:spacing w:before="120" w:line="312" w:lineRule="auto"/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 numéro de palette</w:t>
            </w:r>
            <w:r w:rsidR="004C2B88" w:rsidRPr="00253286">
              <w:rPr>
                <w:rFonts w:cstheme="minorHAnsi"/>
                <w:lang w:val="fr-FR"/>
              </w:rPr>
              <w:t xml:space="preserve">, </w:t>
            </w:r>
          </w:p>
          <w:p w:rsidR="004C2B88" w:rsidRPr="00253286" w:rsidRDefault="005F68D7" w:rsidP="004C2B88">
            <w:pPr>
              <w:numPr>
                <w:ilvl w:val="0"/>
                <w:numId w:val="6"/>
              </w:numPr>
              <w:spacing w:before="120" w:line="312" w:lineRule="auto"/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les dimensions</w:t>
            </w:r>
            <w:r w:rsidR="004C2B88" w:rsidRPr="00253286">
              <w:rPr>
                <w:rFonts w:cstheme="minorHAnsi"/>
                <w:lang w:val="fr-FR"/>
              </w:rPr>
              <w:t xml:space="preserve">, </w:t>
            </w:r>
          </w:p>
          <w:p w:rsidR="004C2B88" w:rsidRPr="00253286" w:rsidRDefault="005F68D7" w:rsidP="004C2B88">
            <w:pPr>
              <w:numPr>
                <w:ilvl w:val="0"/>
                <w:numId w:val="6"/>
              </w:numPr>
              <w:spacing w:before="120" w:line="312" w:lineRule="auto"/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 xml:space="preserve">le nombre de </w:t>
            </w:r>
            <w:r w:rsidRPr="00253286">
              <w:rPr>
                <w:rFonts w:cstheme="minorHAnsi"/>
                <w:lang w:val="fr-FR"/>
              </w:rPr>
              <w:lastRenderedPageBreak/>
              <w:t>pièces et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5F68D7" w:rsidP="005F68D7">
            <w:pPr>
              <w:numPr>
                <w:ilvl w:val="0"/>
                <w:numId w:val="6"/>
              </w:numPr>
              <w:spacing w:before="120" w:line="312" w:lineRule="auto"/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 numéro d’identification du fournisseur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>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NA</w:t>
            </w:r>
          </w:p>
        </w:tc>
      </w:tr>
      <w:tr w:rsidR="004C2B88" w:rsidRPr="00970506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>Production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5F68D7" w:rsidP="005F68D7">
            <w:pPr>
              <w:jc w:val="both"/>
              <w:rPr>
                <w:rFonts w:cstheme="minorHAnsi"/>
                <w:color w:val="FF0000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Des ordres de fabrication sont utilisés.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5F68D7" w:rsidP="005F68D7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Toutefois</w:t>
            </w:r>
            <w:r w:rsidR="004C2B88" w:rsidRPr="00253286">
              <w:rPr>
                <w:rFonts w:cstheme="minorHAnsi"/>
                <w:lang w:val="fr-FR"/>
              </w:rPr>
              <w:t>,</w:t>
            </w:r>
            <w:r w:rsidRPr="00253286">
              <w:rPr>
                <w:rFonts w:cstheme="minorHAnsi"/>
                <w:lang w:val="fr-FR"/>
              </w:rPr>
              <w:t xml:space="preserve"> certains produits en cours de fabrication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  <w:r w:rsidRPr="00253286">
              <w:rPr>
                <w:rFonts w:cstheme="minorHAnsi"/>
                <w:lang w:val="fr-FR"/>
              </w:rPr>
              <w:t xml:space="preserve">ne sont pas accompagnés d’un ordre de fabrication.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5F68D7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 xml:space="preserve">Les ordres de </w:t>
            </w:r>
            <w:r w:rsidR="00321A49" w:rsidRPr="00253286">
              <w:rPr>
                <w:rFonts w:cstheme="minorHAnsi"/>
                <w:lang w:val="fr-FR"/>
              </w:rPr>
              <w:t>fabrication</w:t>
            </w:r>
            <w:r w:rsidRPr="00253286">
              <w:rPr>
                <w:rFonts w:cstheme="minorHAnsi"/>
                <w:lang w:val="fr-FR"/>
              </w:rPr>
              <w:t xml:space="preserve"> doivent être utilisés systématiquement.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4C2B88" w:rsidRPr="00970506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5F68D7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Vente et expédition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5F68D7" w:rsidP="005F68D7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Des produits non certifiés portent le label « certifié FSC ».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4C2B88" w:rsidRPr="00970506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5F68D7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Procédures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FB100A" w:rsidP="00FB100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Des procédures et instructions de travail ont été élaborées.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FB100A" w:rsidP="00FB100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La tenue des registres pendant 5 ans n’est documentée dans aucune procédure.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FB100A" w:rsidP="00FB100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Documenter cette exigence dans les procédures.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</w:tr>
      <w:tr w:rsidR="004C2B88" w:rsidRPr="00970506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5F68D7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Formation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7813AA" w:rsidP="007813A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 personnel connaît bien les exigences de la CdC et les responsabilités qui sont les siennes.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7813AA" w:rsidP="007813A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Des dossiers de formation sont absents.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7813A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 xml:space="preserve">Mettre les changements en œuvre. </w:t>
            </w:r>
          </w:p>
        </w:tc>
      </w:tr>
      <w:tr w:rsidR="004C2B88" w:rsidRPr="00253286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5F68D7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Tenue des registres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7813A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 champ d’application et la validité du certificat sont OK.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7813A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Les bons de commandes, factures et bordereaux de livraison sont OK.</w:t>
            </w:r>
          </w:p>
          <w:p w:rsidR="004C2B88" w:rsidRPr="00253286" w:rsidRDefault="007813AA" w:rsidP="007813A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Les registres sont conservés pendant 5 ans.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NA</w:t>
            </w:r>
          </w:p>
        </w:tc>
      </w:tr>
    </w:tbl>
    <w:p w:rsidR="004C2B88" w:rsidRPr="00253286" w:rsidRDefault="004C2B88" w:rsidP="004C2B88">
      <w:pPr>
        <w:jc w:val="both"/>
        <w:rPr>
          <w:rFonts w:cstheme="minorHAnsi"/>
          <w:sz w:val="20"/>
          <w:szCs w:val="20"/>
          <w:lang w:val="fr-FR" w:eastAsia="en-US"/>
        </w:rPr>
      </w:pPr>
    </w:p>
    <w:p w:rsidR="004C2B88" w:rsidRPr="00253286" w:rsidRDefault="004C2B88" w:rsidP="004C2B88">
      <w:pPr>
        <w:jc w:val="both"/>
        <w:rPr>
          <w:rFonts w:cstheme="minorHAnsi"/>
          <w:sz w:val="20"/>
          <w:szCs w:val="20"/>
          <w:lang w:val="fr-FR"/>
        </w:rPr>
      </w:pPr>
    </w:p>
    <w:p w:rsidR="004C2B88" w:rsidRPr="00253286" w:rsidRDefault="004C2B88" w:rsidP="004C2B88">
      <w:pPr>
        <w:jc w:val="both"/>
        <w:rPr>
          <w:rFonts w:cstheme="minorHAnsi"/>
          <w:b/>
          <w:color w:val="006600"/>
          <w:lang w:val="fr-FR"/>
        </w:rPr>
      </w:pPr>
      <w:r w:rsidRPr="00253286">
        <w:rPr>
          <w:rFonts w:cstheme="minorHAnsi"/>
          <w:b/>
          <w:color w:val="006600"/>
          <w:lang w:val="fr-FR"/>
        </w:rPr>
        <w:t>Situation 2</w:t>
      </w:r>
      <w:r w:rsidR="00304A44" w:rsidRPr="00253286">
        <w:rPr>
          <w:rFonts w:cstheme="minorHAnsi"/>
          <w:b/>
          <w:color w:val="006600"/>
          <w:lang w:val="fr-FR"/>
        </w:rPr>
        <w:t> :</w:t>
      </w:r>
      <w:r w:rsidRPr="00253286">
        <w:rPr>
          <w:rFonts w:cstheme="minorHAnsi"/>
          <w:b/>
          <w:color w:val="006600"/>
          <w:lang w:val="fr-FR"/>
        </w:rPr>
        <w:t xml:space="preserve"> Smith Timber</w:t>
      </w:r>
    </w:p>
    <w:tbl>
      <w:tblPr>
        <w:tblStyle w:val="Grilledutableau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602"/>
        <w:gridCol w:w="2651"/>
        <w:gridCol w:w="2126"/>
        <w:gridCol w:w="2693"/>
      </w:tblGrid>
      <w:tr w:rsidR="00681EAF" w:rsidRPr="00970506" w:rsidTr="00506A90">
        <w:trPr>
          <w:tblHeader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304A4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Points de contrôle critiques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304A4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Contrôle actuel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304A4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Non-conformité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C2B88" w:rsidRPr="00253286" w:rsidRDefault="00304A44" w:rsidP="00506A90">
            <w:pPr>
              <w:jc w:val="both"/>
              <w:rPr>
                <w:rFonts w:cstheme="minorHAnsi"/>
                <w:b/>
                <w:lang w:val="fr-FR"/>
              </w:rPr>
            </w:pPr>
            <w:r w:rsidRPr="00253286">
              <w:rPr>
                <w:rFonts w:cstheme="minorHAnsi"/>
                <w:b/>
                <w:lang w:val="fr-FR"/>
              </w:rPr>
              <w:t>Contrôle suggéré pour assurer l’intégrité de la CdC</w:t>
            </w:r>
          </w:p>
        </w:tc>
      </w:tr>
      <w:tr w:rsidR="004C2B88" w:rsidRPr="00253286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304A44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 xml:space="preserve">Produits </w:t>
            </w:r>
            <w:r w:rsidR="00321A49" w:rsidRPr="00253286">
              <w:rPr>
                <w:rFonts w:cstheme="minorHAnsi"/>
                <w:lang w:val="fr-FR"/>
              </w:rPr>
              <w:t>reçus</w:t>
            </w: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304A44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Pas de contrôle des stocks</w:t>
            </w:r>
          </w:p>
          <w:p w:rsidR="004C2B88" w:rsidRPr="00253286" w:rsidRDefault="00304A44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>Aucune</w:t>
            </w:r>
            <w:r w:rsidR="00321A49" w:rsidRPr="00253286">
              <w:rPr>
                <w:rFonts w:cstheme="minorHAnsi"/>
                <w:lang w:val="fr-FR"/>
              </w:rPr>
              <w:t xml:space="preserve"> </w:t>
            </w:r>
            <w:r w:rsidR="004C2B88" w:rsidRPr="00253286">
              <w:rPr>
                <w:rFonts w:cstheme="minorHAnsi"/>
                <w:lang w:val="fr-FR"/>
              </w:rPr>
              <w:t xml:space="preserve">identification </w:t>
            </w:r>
            <w:r w:rsidRPr="00253286">
              <w:rPr>
                <w:rFonts w:cstheme="minorHAnsi"/>
                <w:lang w:val="fr-FR"/>
              </w:rPr>
              <w:t>des matières premières dans l’entrepôt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A7691C" w:rsidP="00A7691C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Les sources certifiées et non certifiées sont mélangées car elles sont classées par espèces et par qualités.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A7691C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 xml:space="preserve">Mettre en place un contrôle approprié/ fiable </w:t>
            </w:r>
            <w:r w:rsidRPr="00253286">
              <w:rPr>
                <w:rFonts w:cstheme="minorHAnsi"/>
                <w:lang w:val="fr-FR"/>
              </w:rPr>
              <w:lastRenderedPageBreak/>
              <w:t>des stocks.</w:t>
            </w:r>
          </w:p>
          <w:p w:rsidR="004C2B88" w:rsidRPr="00253286" w:rsidRDefault="00A7691C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Nommer un représentant de la direction devant assumer la responsabilité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  <w:r w:rsidRPr="00253286">
              <w:rPr>
                <w:rFonts w:cstheme="minorHAnsi"/>
                <w:lang w:val="fr-FR"/>
              </w:rPr>
              <w:t>globale du contrôle et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  <w:r w:rsidRPr="00253286">
              <w:rPr>
                <w:rFonts w:cstheme="minorHAnsi"/>
                <w:lang w:val="fr-FR"/>
              </w:rPr>
              <w:t>donner une description claire d’une structure organisationnelle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  <w:r w:rsidRPr="00253286">
              <w:rPr>
                <w:rFonts w:cstheme="minorHAnsi"/>
                <w:lang w:val="fr-FR"/>
              </w:rPr>
              <w:t xml:space="preserve">chargée de mettre en œuvre le système et le tenir à jour. </w:t>
            </w:r>
          </w:p>
          <w:p w:rsidR="004C2B88" w:rsidRPr="00253286" w:rsidRDefault="00A7691C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Ségréguer ou identifier les matières premières au moyen de peinture ou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  <w:r w:rsidRPr="00253286">
              <w:rPr>
                <w:rFonts w:cstheme="minorHAnsi"/>
                <w:lang w:val="fr-FR"/>
              </w:rPr>
              <w:t>d’étiquettes, où les stocker en des lieux différents.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A7691C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Ne pas les mélanger.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</w:tr>
      <w:tr w:rsidR="004C2B88" w:rsidRPr="00970506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>Production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C167F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Utilisation d’un ordre de fabrication avec numéro d’identification.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0C167F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Ce numéro accompagne la commande jusqu’au cerclage final et jusqu’à la préparation de la livraison.</w:t>
            </w:r>
          </w:p>
          <w:p w:rsidR="004C2B88" w:rsidRPr="00253286" w:rsidRDefault="000C167F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Contrôle insuffisant.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C167F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L’écriture au crayon n’est pas suffisamment rigoureuse.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0C167F" w:rsidP="000C167F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Ce système offre les rudiments d’un moyen d’identification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  <w:r w:rsidRPr="00253286">
              <w:rPr>
                <w:rFonts w:cstheme="minorHAnsi"/>
                <w:lang w:val="fr-FR"/>
              </w:rPr>
              <w:t>de la progression des travaux en cours, mais il faut le développer et l’intégrer dans un système de CdC plus vaste.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</w:tr>
      <w:tr w:rsidR="004C2B88" w:rsidRPr="00970506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C167F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Vente et expédition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C167F" w:rsidP="000508D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 numéro de l’ordre de fabrication est conservé, ce qui permet d’assurer la traçabilité jusqu’à la matière première.</w:t>
            </w:r>
            <w:r w:rsidR="004C2B88" w:rsidRPr="00253286">
              <w:rPr>
                <w:rFonts w:cstheme="minorHAnsi"/>
                <w:lang w:val="fr-FR"/>
              </w:rPr>
              <w:t xml:space="preserve">  </w:t>
            </w:r>
            <w:r w:rsidRPr="00253286">
              <w:rPr>
                <w:rFonts w:cstheme="minorHAnsi"/>
                <w:lang w:val="fr-FR"/>
              </w:rPr>
              <w:t>Toutefois</w:t>
            </w:r>
            <w:r w:rsidR="004C2B88" w:rsidRPr="00253286">
              <w:rPr>
                <w:rFonts w:cstheme="minorHAnsi"/>
                <w:lang w:val="fr-FR"/>
              </w:rPr>
              <w:t xml:space="preserve">, </w:t>
            </w:r>
            <w:r w:rsidRPr="00253286">
              <w:rPr>
                <w:rFonts w:cstheme="minorHAnsi"/>
                <w:lang w:val="fr-FR"/>
              </w:rPr>
              <w:t>les matières premières étant classées par qualité</w:t>
            </w:r>
            <w:r w:rsidR="000508DA" w:rsidRPr="00253286">
              <w:rPr>
                <w:rFonts w:cstheme="minorHAnsi"/>
                <w:lang w:val="fr-FR"/>
              </w:rPr>
              <w:t>, il est impossible d’assurer la traçabilité de produits vendus en vertu d’une commande jusqu’à la source forestière.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</w:tr>
      <w:tr w:rsidR="004C2B88" w:rsidRPr="00970506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 xml:space="preserve">Tenue des </w:t>
            </w:r>
            <w:r w:rsidRPr="00253286">
              <w:rPr>
                <w:rFonts w:cstheme="minorHAnsi"/>
                <w:lang w:val="fr-FR"/>
              </w:rPr>
              <w:lastRenderedPageBreak/>
              <w:t>registres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>Les registres sont tenus.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 xml:space="preserve">Toutefois, ils ne font </w:t>
            </w:r>
            <w:r w:rsidRPr="00253286">
              <w:rPr>
                <w:rFonts w:cstheme="minorHAnsi"/>
                <w:lang w:val="fr-FR"/>
              </w:rPr>
              <w:lastRenderedPageBreak/>
              <w:t>pas de différence entre bois certifié et bois non certifié, si bien qu’il est impossible de calculer combien de produits certifiés sont vendus et achetés.</w:t>
            </w:r>
          </w:p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Conservés seulement pendant 3 ans.</w:t>
            </w:r>
            <w:r w:rsidR="004C2B88" w:rsidRPr="00253286">
              <w:rPr>
                <w:rFonts w:cstheme="minorHAnsi"/>
                <w:lang w:val="fr-F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 xml:space="preserve">Mettre en œuvre un </w:t>
            </w:r>
            <w:r w:rsidRPr="00253286">
              <w:rPr>
                <w:rFonts w:cstheme="minorHAnsi"/>
                <w:lang w:val="fr-FR"/>
              </w:rPr>
              <w:lastRenderedPageBreak/>
              <w:t>système faisant la différence entre produits certifiés et produits non certifiés.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  <w:p w:rsidR="004C2B88" w:rsidRPr="00253286" w:rsidRDefault="000508DA" w:rsidP="000508D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Conserver les registres pendant 5 ans.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</w:tr>
      <w:tr w:rsidR="004C2B88" w:rsidRPr="00970506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lastRenderedPageBreak/>
              <w:t>Responsabilités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0508D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Personne n’a été nommé pour assumer la responsabilité de la mise en œuvre de la CdC.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0508DA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Nommer un responsable de la certification.</w:t>
            </w:r>
          </w:p>
        </w:tc>
      </w:tr>
      <w:tr w:rsidR="004C2B88" w:rsidRPr="00970506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Procédures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CB315C" w:rsidP="00CB315C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Des procédures et instructions de travail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  <w:r w:rsidRPr="00253286">
              <w:rPr>
                <w:rFonts w:cstheme="minorHAnsi"/>
                <w:lang w:val="fr-FR"/>
              </w:rPr>
              <w:t>existent bien.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CB315C" w:rsidP="00CB315C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Mais elles ne sont pas correctement mise</w:t>
            </w:r>
            <w:r w:rsidR="00253286" w:rsidRPr="00253286">
              <w:rPr>
                <w:rFonts w:cstheme="minorHAnsi"/>
                <w:lang w:val="fr-FR"/>
              </w:rPr>
              <w:t>s</w:t>
            </w:r>
            <w:r w:rsidRPr="00253286">
              <w:rPr>
                <w:rFonts w:cstheme="minorHAnsi"/>
                <w:lang w:val="fr-FR"/>
              </w:rPr>
              <w:t xml:space="preserve"> en œuvre.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B27D0" w:rsidP="000B27D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Définir le</w:t>
            </w:r>
            <w:r w:rsidR="004C2B88" w:rsidRPr="00253286">
              <w:rPr>
                <w:rFonts w:cstheme="minorHAnsi"/>
                <w:lang w:val="fr-FR"/>
              </w:rPr>
              <w:t xml:space="preserve"> personnel </w:t>
            </w:r>
            <w:r w:rsidRPr="00253286">
              <w:rPr>
                <w:rFonts w:cstheme="minorHAnsi"/>
                <w:lang w:val="fr-FR"/>
              </w:rPr>
              <w:t>responsable de chaque procédure.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</w:tr>
      <w:tr w:rsidR="004C2B88" w:rsidRPr="00253286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0508DA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Formation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88" w:rsidRPr="00253286" w:rsidRDefault="00CB315C" w:rsidP="00CB315C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Le personnel n’a pas conscience de ses responsabilités et connaît mal les exigences de la CdC.</w:t>
            </w:r>
            <w:r w:rsidR="004C2B88" w:rsidRPr="00253286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88" w:rsidRPr="00253286" w:rsidRDefault="000B27D0" w:rsidP="00506A90">
            <w:pPr>
              <w:jc w:val="both"/>
              <w:rPr>
                <w:rFonts w:cstheme="minorHAnsi"/>
                <w:lang w:val="fr-FR"/>
              </w:rPr>
            </w:pPr>
            <w:r w:rsidRPr="00253286">
              <w:rPr>
                <w:rFonts w:cstheme="minorHAnsi"/>
                <w:lang w:val="fr-FR"/>
              </w:rPr>
              <w:t>Formation du personnel.</w:t>
            </w:r>
          </w:p>
          <w:p w:rsidR="004C2B88" w:rsidRPr="00253286" w:rsidRDefault="004C2B88" w:rsidP="00506A90">
            <w:pPr>
              <w:jc w:val="both"/>
              <w:rPr>
                <w:rFonts w:cstheme="minorHAnsi"/>
                <w:lang w:val="fr-FR"/>
              </w:rPr>
            </w:pPr>
          </w:p>
        </w:tc>
      </w:tr>
    </w:tbl>
    <w:p w:rsidR="00CA312B" w:rsidRPr="00253286" w:rsidRDefault="00CA312B" w:rsidP="00CA312B">
      <w:pPr>
        <w:rPr>
          <w:rFonts w:cstheme="minorHAnsi"/>
          <w:lang w:val="fr-FR"/>
        </w:rPr>
      </w:pPr>
    </w:p>
    <w:p w:rsidR="00AB3BD7" w:rsidRPr="00253286" w:rsidRDefault="00AB3BD7" w:rsidP="008D572F">
      <w:pPr>
        <w:rPr>
          <w:b/>
          <w:color w:val="006600"/>
          <w:lang w:val="fr-FR"/>
        </w:rPr>
      </w:pPr>
    </w:p>
    <w:sectPr w:rsidR="00AB3BD7" w:rsidRPr="00253286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260" w:rsidRDefault="00344260" w:rsidP="00375F55">
      <w:pPr>
        <w:spacing w:after="0" w:line="240" w:lineRule="auto"/>
      </w:pPr>
      <w:r>
        <w:separator/>
      </w:r>
    </w:p>
  </w:endnote>
  <w:endnote w:type="continuationSeparator" w:id="0">
    <w:p w:rsidR="00344260" w:rsidRDefault="00344260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260" w:rsidRDefault="00344260" w:rsidP="00375F55">
      <w:pPr>
        <w:spacing w:after="0" w:line="240" w:lineRule="auto"/>
      </w:pPr>
      <w:r>
        <w:separator/>
      </w:r>
    </w:p>
  </w:footnote>
  <w:footnote w:type="continuationSeparator" w:id="0">
    <w:p w:rsidR="00344260" w:rsidRDefault="00344260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56A34"/>
    <w:multiLevelType w:val="hybridMultilevel"/>
    <w:tmpl w:val="E0603DA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856D6"/>
    <w:multiLevelType w:val="hybridMultilevel"/>
    <w:tmpl w:val="A7783DCC"/>
    <w:lvl w:ilvl="0" w:tplc="7D1E6A1E">
      <w:start w:val="1"/>
      <w:numFmt w:val="bullet"/>
      <w:lvlText w:val=""/>
      <w:lvlJc w:val="left"/>
      <w:pPr>
        <w:tabs>
          <w:tab w:val="num" w:pos="714"/>
        </w:tabs>
        <w:ind w:left="714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8121CE"/>
    <w:multiLevelType w:val="hybridMultilevel"/>
    <w:tmpl w:val="04267A72"/>
    <w:lvl w:ilvl="0" w:tplc="7D1E6A1E">
      <w:start w:val="1"/>
      <w:numFmt w:val="bullet"/>
      <w:lvlText w:val=""/>
      <w:lvlJc w:val="left"/>
      <w:pPr>
        <w:tabs>
          <w:tab w:val="num" w:pos="714"/>
        </w:tabs>
        <w:ind w:left="714" w:hanging="51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05A7A"/>
    <w:rsid w:val="000508DA"/>
    <w:rsid w:val="000B27D0"/>
    <w:rsid w:val="000C167F"/>
    <w:rsid w:val="00133AE5"/>
    <w:rsid w:val="00253286"/>
    <w:rsid w:val="002A5DFA"/>
    <w:rsid w:val="00304A44"/>
    <w:rsid w:val="00321A49"/>
    <w:rsid w:val="00344260"/>
    <w:rsid w:val="00375F55"/>
    <w:rsid w:val="00427113"/>
    <w:rsid w:val="00484E44"/>
    <w:rsid w:val="00485FD6"/>
    <w:rsid w:val="00496F75"/>
    <w:rsid w:val="004C17C2"/>
    <w:rsid w:val="004C2B88"/>
    <w:rsid w:val="004D3724"/>
    <w:rsid w:val="005F68D7"/>
    <w:rsid w:val="00680C85"/>
    <w:rsid w:val="00681EAF"/>
    <w:rsid w:val="00705CCB"/>
    <w:rsid w:val="007543A3"/>
    <w:rsid w:val="007813AA"/>
    <w:rsid w:val="007D04CA"/>
    <w:rsid w:val="008D572F"/>
    <w:rsid w:val="00970506"/>
    <w:rsid w:val="00A10617"/>
    <w:rsid w:val="00A14073"/>
    <w:rsid w:val="00A7691C"/>
    <w:rsid w:val="00AB3BD7"/>
    <w:rsid w:val="00AD18AE"/>
    <w:rsid w:val="00AE3D72"/>
    <w:rsid w:val="00B06D77"/>
    <w:rsid w:val="00C00EC1"/>
    <w:rsid w:val="00CA312B"/>
    <w:rsid w:val="00CB315C"/>
    <w:rsid w:val="00D22A3C"/>
    <w:rsid w:val="00DC5EFE"/>
    <w:rsid w:val="00E33AF5"/>
    <w:rsid w:val="00F4012A"/>
    <w:rsid w:val="00FB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F9BE318-6062-4983-B60C-3845CD85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C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153DA-825E-4A11-9597-D7610EC41482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687</Words>
  <Characters>3888</Characters>
  <Application>Microsoft Office Word</Application>
  <DocSecurity>0</DocSecurity>
  <Lines>245</Lines>
  <Paragraphs>81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3</cp:revision>
  <cp:lastPrinted>2014-11-12T11:45:00Z</cp:lastPrinted>
  <dcterms:created xsi:type="dcterms:W3CDTF">2014-11-12T11:44:00Z</dcterms:created>
  <dcterms:modified xsi:type="dcterms:W3CDTF">2014-11-12T11:45:00Z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